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6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ind w:left="284"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nonchè tutti i compensi cui dà diritto l'assuzione della carica </w:t>
      </w:r>
    </w:p>
    <w:p w:rsidR="00000000" w:rsidDel="00000000" w:rsidP="00000000" w:rsidRDefault="00000000" w:rsidRPr="00000000" w14:paraId="00000005">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ind w:left="284"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ind w:left="284" w:firstLine="0"/>
        <w:jc w:val="both"/>
        <w:rPr>
          <w:rFonts w:ascii="Times New Roman" w:cs="Times New Roman" w:eastAsia="Times New Roman" w:hAnsi="Times New Roman"/>
          <w:b w:val="1"/>
          <w:bCs w:val="1"/>
          <w:sz w:val="44"/>
          <w:szCs w:val="44"/>
        </w:rPr>
      </w:pPr>
      <w:r w:rsidDel="00000000" w:rsidR="00000000" w:rsidRPr="00000000">
        <w:rPr>
          <w:rFonts w:ascii="Times New Roman" w:cs="Times New Roman" w:eastAsia="Times New Roman" w:hAnsi="Times New Roman"/>
          <w:b w:val="1"/>
          <w:bCs w:val="1"/>
          <w:sz w:val="44"/>
          <w:szCs w:val="44"/>
          <w:rtl w:val="0"/>
        </w:rPr>
        <w:t xml:space="preserve">Non sono stati emessi provvedimenti sanzionatori per l’anno 2022</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134" w:top="1417" w:left="1134" w:right="1134" w:header="454"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tabs>
        <w:tab w:val="center" w:leader="none" w:pos="4819"/>
        <w:tab w:val="right" w:leader="none" w:pos="9638"/>
      </w:tabs>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Settore 2 - “Autorizzazione Pagamenti, CAI”</w:t>
    </w:r>
    <w:r w:rsidDel="00000000" w:rsidR="00000000" w:rsidRPr="00000000">
      <w:rPr>
        <w:rtl w:val="0"/>
      </w:rPr>
    </w:r>
  </w:p>
  <w:p w:rsidR="00000000" w:rsidDel="00000000" w:rsidP="00000000" w:rsidRDefault="00000000" w:rsidRPr="00000000" w14:paraId="00000010">
    <w:pPr>
      <w:tabs>
        <w:tab w:val="center" w:leader="none" w:pos="4819"/>
        <w:tab w:val="right" w:leader="none" w:pos="9638"/>
      </w:tabs>
      <w:jc w:val="center"/>
      <w:rPr>
        <w:rFonts w:ascii="Times New Roman" w:cs="Times New Roman" w:eastAsia="Times New Roman" w:hAnsi="Times New Roman"/>
        <w:i w:val="1"/>
        <w:iCs w:val="1"/>
      </w:rPr>
    </w:pPr>
    <w:hyperlink r:id="rId1">
      <w:r w:rsidDel="00000000" w:rsidR="00000000" w:rsidRPr="00000000">
        <w:rPr>
          <w:rFonts w:ascii="Times New Roman" w:cs="Times New Roman" w:eastAsia="Times New Roman" w:hAnsi="Times New Roman"/>
          <w:i w:val="1"/>
          <w:iCs w:val="1"/>
          <w:color w:val="0000ff"/>
          <w:u w:val="single"/>
          <w:rtl w:val="0"/>
        </w:rPr>
        <w:t xml:space="preserve">autorizzazione@arcea.it</w:t>
      </w:r>
    </w:hyperlink>
    <w:r w:rsidDel="00000000" w:rsidR="00000000" w:rsidRPr="00000000">
      <w:rPr>
        <w:rFonts w:ascii="Times New Roman" w:cs="Times New Roman" w:eastAsia="Times New Roman" w:hAnsi="Times New Roman"/>
        <w:i w:val="1"/>
        <w:iCs w:val="1"/>
        <w:rtl w:val="0"/>
      </w:rPr>
      <w:t xml:space="preserve"> PEC </w:t>
    </w:r>
    <w:hyperlink r:id="rId2">
      <w:r w:rsidDel="00000000" w:rsidR="00000000" w:rsidRPr="00000000">
        <w:rPr>
          <w:rFonts w:ascii="Times New Roman" w:cs="Times New Roman" w:eastAsia="Times New Roman" w:hAnsi="Times New Roman"/>
          <w:i w:val="1"/>
          <w:iCs w:val="1"/>
          <w:color w:val="1155cc"/>
          <w:u w:val="single"/>
          <w:rtl w:val="0"/>
        </w:rPr>
        <w:t xml:space="preserve">protocollo@pec.arcea.it</w:t>
      </w:r>
    </w:hyperlink>
    <w:r w:rsidDel="00000000" w:rsidR="00000000" w:rsidRPr="00000000">
      <w:rPr>
        <w:rFonts w:ascii="Times New Roman" w:cs="Times New Roman" w:eastAsia="Times New Roman" w:hAnsi="Times New Roman"/>
        <w:i w:val="1"/>
        <w:iCs w:val="1"/>
        <w:rtl w:val="0"/>
      </w:rPr>
      <w:t xml:space="preserve">  </w:t>
    </w:r>
  </w:p>
  <w:p w:rsidR="00000000" w:rsidDel="00000000" w:rsidP="00000000" w:rsidRDefault="00000000" w:rsidRPr="00000000" w14:paraId="00000011">
    <w:pPr>
      <w:tabs>
        <w:tab w:val="center" w:leader="none" w:pos="4819"/>
        <w:tab w:val="right" w:leader="none" w:pos="9638"/>
      </w:tabs>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rtl w:val="0"/>
      </w:rPr>
      <w:t xml:space="preserve">Cittadella Regionale – loc. Germaneto, Catanzaro</w:t>
    </w:r>
    <w:r w:rsidDel="00000000" w:rsidR="00000000" w:rsidRPr="00000000">
      <w:rPr>
        <w:rtl w:val="0"/>
      </w:rPr>
    </w:r>
  </w:p>
  <w:p w:rsidR="00000000" w:rsidDel="00000000" w:rsidP="00000000" w:rsidRDefault="00000000" w:rsidRPr="00000000" w14:paraId="00000012">
    <w:pPr>
      <w:tabs>
        <w:tab w:val="center" w:leader="none" w:pos="4819"/>
        <w:tab w:val="right" w:leader="none" w:pos="9638"/>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1"/>
        <w:bCs w:val="1"/>
        <w:i w:val="1"/>
        <w:iCs w:val="1"/>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114300" distR="114300">
          <wp:extent cx="2975610" cy="442595"/>
          <wp:effectExtent b="0" l="0" r="0" t="0"/>
          <wp:docPr descr="LOGO X INTESTAZIONE" id="1" name="image1.jpg"/>
          <a:graphic>
            <a:graphicData uri="http://schemas.openxmlformats.org/drawingml/2006/picture">
              <pic:pic>
                <pic:nvPicPr>
                  <pic:cNvPr descr="LOGO X INTESTAZIONE" id="0" name="image1.jpg"/>
                  <pic:cNvPicPr preferRelativeResize="0"/>
                </pic:nvPicPr>
                <pic:blipFill>
                  <a:blip r:embed="rId1"/>
                  <a:srcRect b="0" l="0" r="0" t="0"/>
                  <a:stretch>
                    <a:fillRect/>
                  </a:stretch>
                </pic:blipFill>
                <pic:spPr>
                  <a:xfrm>
                    <a:off x="0" y="0"/>
                    <a:ext cx="2975610" cy="442595"/>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utorizzazione@arcea.it" TargetMode="External"/><Relationship Id="rId2" Type="http://schemas.openxmlformats.org/officeDocument/2006/relationships/hyperlink" Target="mailto:protocollo@pec.arc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YvEuGrKHWNW4cqRHflX/ThMPCg==">CgMxLjAyCGguZ2pkZ3hzOAByITE3bkxwRUJsZlhPQ0pNTVNPZVZDaVRfQlMzdl9LS3N1Qg==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